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318" w:lineRule="exact" w:before="112"/>
              <w:ind w:lef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KREDIT</w:t>
            </w:r>
            <w:r>
              <w:rPr>
                <w:rFonts w:ascii="Arial Black"/>
                <w:spacing w:val="8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PEMILIKAN</w:t>
            </w:r>
            <w:r>
              <w:rPr>
                <w:rFonts w:ascii="Arial Black"/>
                <w:spacing w:val="11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RUMAH</w:t>
            </w:r>
            <w:r>
              <w:rPr>
                <w:rFonts w:ascii="Arial Black"/>
                <w:spacing w:val="11"/>
                <w:sz w:val="26"/>
              </w:rPr>
              <w:t> </w:t>
            </w:r>
            <w:r>
              <w:rPr>
                <w:rFonts w:ascii="Arial Black"/>
                <w:spacing w:val="-2"/>
                <w:w w:val="85"/>
                <w:sz w:val="26"/>
              </w:rPr>
              <w:t>(KPR)</w:t>
            </w:r>
          </w:p>
        </w:tc>
      </w:tr>
      <w:tr>
        <w:trPr>
          <w:trHeight w:val="18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Kredit</w:t>
            </w:r>
            <w:r>
              <w:rPr>
                <w:rFonts w:asci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(Lending)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line="305" w:lineRule="exact" w:before="69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Nama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pacing w:val="79"/>
                <w:sz w:val="22"/>
              </w:rPr>
              <w:t> </w:t>
            </w:r>
            <w:r>
              <w:rPr>
                <w:spacing w:val="-2"/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Kredit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Pemilikan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Rumah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KPR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yang</w:t>
            </w:r>
          </w:p>
          <w:p>
            <w:pPr>
              <w:pStyle w:val="TableParagraph"/>
              <w:tabs>
                <w:tab w:pos="6509" w:val="left" w:leader="none"/>
              </w:tabs>
              <w:spacing w:line="271" w:lineRule="auto"/>
              <w:ind w:left="6510" w:right="593" w:hanging="4700"/>
              <w:rPr>
                <w:sz w:val="22"/>
              </w:rPr>
            </w:pPr>
            <w:r>
              <w:rPr>
                <w:rFonts w:ascii="Arial Black"/>
                <w:spacing w:val="-2"/>
                <w:w w:val="105"/>
                <w:sz w:val="22"/>
              </w:rPr>
              <w:t>(KPR)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105"/>
                <w:sz w:val="22"/>
              </w:rPr>
              <w:t>disalurkan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oleh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tujuan pembiayaan untuk kepemilikan rumah, ruko/rukan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8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5510" w:right="756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(1%- 2% Per Bulan)</w:t>
              <w:tab/>
            </w:r>
            <w:r>
              <w:rPr>
                <w:rFonts w:ascii="Arial Black"/>
                <w:sz w:val="22"/>
              </w:rPr>
              <w:t>Plafon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(Jumlah plafon kredit yang </w:t>
            </w:r>
            <w:r>
              <w:rPr>
                <w:sz w:val="22"/>
              </w:rPr>
              <w:t>diberikan sesuai aturan yang berlaku)</w:t>
            </w:r>
          </w:p>
          <w:p>
            <w:pPr>
              <w:pStyle w:val="TableParagraph"/>
              <w:tabs>
                <w:tab w:pos="5509" w:val="left" w:leader="none"/>
                <w:tab w:pos="8299" w:val="left" w:leader="none"/>
              </w:tabs>
              <w:spacing w:line="259" w:lineRule="auto" w:before="71"/>
              <w:ind w:left="110" w:right="336"/>
              <w:rPr>
                <w:sz w:val="22"/>
              </w:rPr>
            </w:pPr>
            <w:r>
              <w:rPr>
                <w:rFonts w:ascii="Arial Black"/>
                <w:sz w:val="22"/>
              </w:rPr>
              <w:t>Jangka waktu </w:t>
            </w:r>
            <w:r>
              <w:rPr>
                <w:sz w:val="22"/>
              </w:rPr>
              <w:t>(Jangka waktu penyaluran kredit 1</w:t>
              <w:tab/>
            </w:r>
            <w:r>
              <w:rPr>
                <w:rFonts w:ascii="Arial Black"/>
                <w:sz w:val="22"/>
              </w:rPr>
              <w:t>Sistem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z w:val="22"/>
              </w:rPr>
              <w:t>Pembayaran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(b.</w:t>
              <w:tab/>
              <w:t>Sistem pembayaran </w:t>
            </w:r>
            <w:r>
              <w:rPr>
                <w:w w:val="105"/>
                <w:sz w:val="22"/>
              </w:rPr>
              <w:t>tahun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 maksimal 15 </w:t>
            </w:r>
            <w:r>
              <w:rPr>
                <w:spacing w:val="-2"/>
                <w:w w:val="105"/>
                <w:sz w:val="22"/>
              </w:rPr>
              <w:t>tahun)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pokok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dibayar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setiap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bulan</w:t>
            </w:r>
          </w:p>
          <w:p>
            <w:pPr>
              <w:pStyle w:val="TableParagraph"/>
              <w:spacing w:before="26"/>
              <w:ind w:left="5510"/>
              <w:rPr>
                <w:sz w:val="22"/>
              </w:rPr>
            </w:pPr>
            <w:r>
              <w:rPr>
                <w:sz w:val="22"/>
              </w:rPr>
              <w:t>sesuai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perjanjian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5912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before="133"/>
              <w:ind w:left="110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Provisi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(1%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5%)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(Rp400.000)</w:t>
            </w:r>
          </w:p>
          <w:p>
            <w:pPr>
              <w:pStyle w:val="TableParagraph"/>
              <w:tabs>
                <w:tab w:pos="5509" w:val="left" w:leader="none"/>
              </w:tabs>
              <w:spacing w:line="271" w:lineRule="auto" w:before="69"/>
              <w:ind w:left="110" w:right="336"/>
              <w:rPr>
                <w:sz w:val="22"/>
              </w:rPr>
            </w:pPr>
            <w:r>
              <w:rPr>
                <w:rFonts w:ascii="Arial Black"/>
                <w:sz w:val="22"/>
              </w:rPr>
              <w:t>Biaya Asuransi Jiwa </w:t>
            </w:r>
            <w:r>
              <w:rPr>
                <w:sz w:val="22"/>
              </w:rPr>
              <w:t>(Sesuai dengan ketentuan</w:t>
              <w:tab/>
            </w:r>
            <w:r>
              <w:rPr>
                <w:rFonts w:ascii="Arial Black"/>
                <w:spacing w:val="-4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Apprisal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(apabila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diperlukan)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(Biaya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</w:t>
              <w:tab/>
              <w:t>Apprisal ditentukan oleh KJPP yang ditunjuk oleh Yasa. )</w:t>
              <w:tab/>
              <w:t>Bank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mempertimbangkan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objek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spacing w:before="12"/>
              <w:ind w:left="55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dinilai)</w:t>
            </w:r>
          </w:p>
          <w:p>
            <w:pPr>
              <w:pStyle w:val="TableParagraph"/>
              <w:tabs>
                <w:tab w:pos="5509" w:val="left" w:leader="none"/>
              </w:tabs>
              <w:spacing w:line="300" w:lineRule="exact" w:before="93"/>
              <w:ind w:left="5510" w:right="111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Biaya Materai </w:t>
            </w:r>
            <w:r>
              <w:rPr>
                <w:sz w:val="22"/>
              </w:rPr>
              <w:t>(75.000)</w:t>
              <w:tab/>
            </w:r>
            <w:r>
              <w:rPr>
                <w:rFonts w:ascii="Arial Black"/>
                <w:w w:val="90"/>
                <w:sz w:val="22"/>
              </w:rPr>
              <w:t>Biaya Administrasi Adendum untuk </w:t>
            </w:r>
            <w:r>
              <w:rPr>
                <w:rFonts w:ascii="Arial Black"/>
                <w:w w:val="90"/>
                <w:sz w:val="22"/>
              </w:rPr>
              <w:t>pergantian </w:t>
            </w:r>
            <w:r>
              <w:rPr>
                <w:rFonts w:ascii="Arial Black"/>
                <w:sz w:val="22"/>
              </w:rPr>
              <w:t>Jaminan</w:t>
            </w:r>
            <w:r>
              <w:rPr>
                <w:rFonts w:ascii="Arial Black"/>
                <w:spacing w:val="-3"/>
                <w:sz w:val="22"/>
              </w:rPr>
              <w:t> </w:t>
            </w:r>
            <w:r>
              <w:rPr>
                <w:rFonts w:ascii="Arial Black"/>
                <w:sz w:val="22"/>
              </w:rPr>
              <w:t>SHM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(Rp.150.000 di tambah biaya Materai dan biaya pengikatan SKMHT / APHT /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Roya yang di tetapkan oleh Notaris ditambah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 Biaya Penilaian dari Penilai Independent terhadap agunan pengganti (Apprisal) apabila </w:t>
            </w:r>
            <w:r>
              <w:rPr>
                <w:spacing w:val="-2"/>
                <w:sz w:val="22"/>
              </w:rPr>
              <w:t>diperlukan.)</w:t>
            </w:r>
          </w:p>
          <w:p>
            <w:pPr>
              <w:pStyle w:val="TableParagraph"/>
              <w:tabs>
                <w:tab w:pos="5509" w:val="left" w:leader="none"/>
              </w:tabs>
              <w:spacing w:line="305" w:lineRule="exact" w:before="75"/>
              <w:ind w:left="110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-5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75"/>
                <w:w w:val="15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Fotocopy</w:t>
            </w:r>
            <w:r>
              <w:rPr>
                <w:rFonts w:ascii="Arial Black"/>
                <w:spacing w:val="5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Jaminan</w:t>
            </w:r>
            <w:r>
              <w:rPr>
                <w:rFonts w:ascii="Arial Black"/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26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untuk</w:t>
            </w:r>
            <w:r>
              <w:rPr>
                <w:rFonts w:ascii="Arial Black"/>
                <w:spacing w:val="26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penyelamatan</w:t>
            </w:r>
            <w:r>
              <w:rPr>
                <w:rFonts w:ascii="Arial Black"/>
                <w:spacing w:val="26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/Rest</w:t>
            </w:r>
          </w:p>
          <w:p>
            <w:pPr>
              <w:pStyle w:val="TableParagraph"/>
              <w:tabs>
                <w:tab w:pos="5509" w:val="left" w:leader="none"/>
              </w:tabs>
              <w:spacing w:line="278" w:lineRule="auto"/>
              <w:ind w:left="5510" w:right="336" w:hanging="5400"/>
              <w:rPr>
                <w:sz w:val="22"/>
              </w:rPr>
            </w:pPr>
            <w:r>
              <w:rPr>
                <w:spacing w:val="-2"/>
                <w:sz w:val="22"/>
              </w:rPr>
              <w:t>(Rp.50.000,-)</w:t>
            </w:r>
            <w:r>
              <w:rPr>
                <w:sz w:val="22"/>
              </w:rPr>
              <w:tab/>
            </w:r>
            <w:r>
              <w:rPr>
                <w:rFonts w:ascii="Arial Black"/>
                <w:spacing w:val="-2"/>
                <w:sz w:val="22"/>
              </w:rPr>
              <w:t>perpanjangan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jangka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waktu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(Rp.150.000,- </w:t>
            </w:r>
            <w:r>
              <w:rPr>
                <w:sz w:val="22"/>
              </w:rPr>
              <w:t>ditambah biaya materai dan Biaya Asuransi Jiwa apabila menggunakan asuransi jiwa kredit </w:t>
            </w:r>
            <w:r>
              <w:rPr>
                <w:sz w:val="22"/>
              </w:rPr>
              <w:t>sesuai dengan ketentuan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 Yasa. 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1797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  <w:tab w:pos="1169" w:val="left" w:leader="none"/>
                <w:tab w:pos="1988" w:val="left" w:leader="none"/>
                <w:tab w:pos="3345" w:val="left" w:leader="none"/>
                <w:tab w:pos="4538" w:val="left" w:leader="none"/>
              </w:tabs>
              <w:spacing w:line="283" w:lineRule="auto" w:before="168" w:after="0"/>
              <w:ind w:left="410" w:right="89" w:hanging="300"/>
              <w:jc w:val="lef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Anda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dapat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melakukan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angsuran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dengan </w:t>
            </w:r>
            <w:r>
              <w:rPr>
                <w:w w:val="105"/>
                <w:sz w:val="22"/>
              </w:rPr>
              <w:t>mengumpulkan dana anda melalui tabungan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memilih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sesuai skim yang dipilih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Timbulnya</w:t>
            </w:r>
            <w:r>
              <w:rPr>
                <w:w w:val="105"/>
                <w:sz w:val="22"/>
              </w:rPr>
              <w:t> biaya</w:t>
            </w:r>
            <w:r>
              <w:rPr>
                <w:w w:val="105"/>
                <w:sz w:val="22"/>
              </w:rPr>
              <w:t> tambahan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 terlambat</w:t>
            </w:r>
            <w:r>
              <w:rPr>
                <w:w w:val="105"/>
                <w:sz w:val="22"/>
              </w:rPr>
              <w:t> membayar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</w:t>
            </w:r>
            <w:r>
              <w:rPr>
                <w:spacing w:val="-2"/>
                <w:w w:val="105"/>
                <w:sz w:val="22"/>
              </w:rPr>
              <w:t>kesepakatan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4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Riwayat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tercatat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ketika anda menunggak pembayaran.</w:t>
            </w:r>
          </w:p>
        </w:tc>
      </w:tr>
    </w:tbl>
    <w:p>
      <w:pPr>
        <w:pStyle w:val="TableParagraph"/>
        <w:spacing w:after="0" w:line="283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1078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68"/>
              <w:ind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diambil</w:t>
            </w:r>
            <w:r>
              <w:rPr>
                <w:w w:val="105"/>
                <w:sz w:val="22"/>
              </w:rPr>
              <w:t> alih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anda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memenuhi</w:t>
            </w:r>
            <w:r>
              <w:rPr>
                <w:w w:val="105"/>
                <w:sz w:val="22"/>
              </w:rPr>
              <w:t> kewajiban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 perjanjian kredit.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10966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Aplikasi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Permohonan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kredit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both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both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Surat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Nikah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6" w:after="0"/>
              <w:ind w:left="410" w:right="328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Agunan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digunakan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adalah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aturan </w:t>
            </w:r>
            <w:r>
              <w:rPr>
                <w:sz w:val="22"/>
              </w:rPr>
              <w:t>yang berlaku dilengkapi dengan SSB, AJB dan </w:t>
            </w:r>
            <w:r>
              <w:rPr>
                <w:spacing w:val="-4"/>
                <w:w w:val="105"/>
                <w:sz w:val="22"/>
              </w:rPr>
              <w:t>IMB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4" w:after="0"/>
              <w:ind w:left="410" w:right="661" w:hanging="300"/>
              <w:jc w:val="left"/>
              <w:rPr>
                <w:sz w:val="22"/>
              </w:rPr>
            </w:pPr>
            <w:r>
              <w:rPr>
                <w:sz w:val="22"/>
              </w:rPr>
              <w:t>Rekening Koran, Slip Gaji Terakhir </w:t>
            </w:r>
            <w:r>
              <w:rPr>
                <w:sz w:val="22"/>
              </w:rPr>
              <w:t>(apabila </w:t>
            </w:r>
            <w:r>
              <w:rPr>
                <w:w w:val="105"/>
                <w:sz w:val="22"/>
              </w:rPr>
              <w:t>debitur adalah seorang pekerja)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2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Laporan Keuangan (Rekapan Penjualan) 3 bulan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Terakhir,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Ijin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NIB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pinjaman diatas 100 juta(apabila wiraswasta)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9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Tidak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memiliki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catatan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jasa keuangan 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103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Uang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muka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(DP)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minimal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10%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harga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rumah yang dibeli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82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Pembiayaan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LTV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maksimal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5"/>
                <w:sz w:val="22"/>
              </w:rPr>
              <w:t>90%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Untuk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proses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pencairan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tetap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dilakukan</w:t>
            </w:r>
          </w:p>
          <w:p>
            <w:pPr>
              <w:pStyle w:val="TableParagraph"/>
              <w:tabs>
                <w:tab w:pos="409" w:val="left" w:leader="none"/>
              </w:tabs>
              <w:spacing w:line="283" w:lineRule="auto" w:before="47"/>
              <w:ind w:right="266" w:hanging="300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100% dari plafon pinjaman pada saat tanda tangan PK, akan tetapi uang dari pencairan tersebut diblokir pada buku tabungan </w:t>
            </w:r>
            <w:r>
              <w:rPr>
                <w:w w:val="105"/>
                <w:sz w:val="22"/>
              </w:rPr>
              <w:t>Debitur dan proses penarikannya melalui 4 Tahap 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08" w:val="left" w:leader="none"/>
              </w:tabs>
              <w:spacing w:line="283" w:lineRule="auto" w:before="4" w:after="0"/>
              <w:ind w:left="410" w:right="219" w:firstLine="0"/>
              <w:jc w:val="left"/>
              <w:rPr>
                <w:sz w:val="22"/>
              </w:rPr>
            </w:pPr>
            <w:r>
              <w:rPr>
                <w:sz w:val="22"/>
              </w:rPr>
              <w:t>Tahap I setelah selesai fondasi sebesar </w:t>
            </w:r>
            <w:r>
              <w:rPr>
                <w:sz w:val="22"/>
              </w:rPr>
              <w:t>40% </w:t>
            </w:r>
            <w:r>
              <w:rPr>
                <w:w w:val="105"/>
                <w:sz w:val="22"/>
              </w:rPr>
              <w:t>dari plafon pinjaman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08" w:val="left" w:leader="none"/>
              </w:tabs>
              <w:spacing w:line="283" w:lineRule="auto" w:before="2" w:after="0"/>
              <w:ind w:left="410" w:right="564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Tahap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setelah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selesai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pembuatan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atap sebesar 80% dari plafon pinjaman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08" w:val="left" w:leader="none"/>
              </w:tabs>
              <w:spacing w:line="283" w:lineRule="auto" w:before="2" w:after="0"/>
              <w:ind w:left="410" w:right="329" w:firstLine="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Tahap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III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setelah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selesai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penandatanganan </w:t>
            </w:r>
            <w:r>
              <w:rPr>
                <w:w w:val="105"/>
                <w:sz w:val="22"/>
              </w:rPr>
              <w:t>Berita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Acara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Serah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Terima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(BAST)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sebesar 90% dari plafon pinjaman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08" w:val="left" w:leader="none"/>
              </w:tabs>
              <w:spacing w:line="283" w:lineRule="auto" w:before="4" w:after="0"/>
              <w:ind w:left="410" w:right="321" w:firstLine="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Tahap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IV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setelah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selesai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penandatanganan </w:t>
            </w:r>
            <w:r>
              <w:rPr>
                <w:w w:val="105"/>
                <w:sz w:val="22"/>
              </w:rPr>
              <w:t>BAST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dilengkapi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AJB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SKMHT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 APHT sebesar 100% dari plafon pinjaman.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83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Persayaratan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yang</w:t>
            </w:r>
          </w:p>
          <w:p>
            <w:pPr>
              <w:pStyle w:val="TableParagraph"/>
              <w:tabs>
                <w:tab w:pos="409" w:val="left" w:leader="none"/>
              </w:tabs>
              <w:spacing w:before="46"/>
              <w:ind w:left="110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berlaku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saat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83" w:lineRule="auto" w:before="127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918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90" w:lineRule="atLeast" w:before="31"/>
              <w:ind w:left="110" w:right="5800"/>
              <w:rPr>
                <w:sz w:val="22"/>
              </w:rPr>
            </w:pPr>
            <w:r>
              <w:rPr>
                <w:w w:val="105"/>
                <w:sz w:val="22"/>
              </w:rPr>
              <w:t>Contoh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Simulasi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pembayaran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anda: Jumlah Pokok Pinjaman: Rp. xxx</w:t>
            </w:r>
          </w:p>
        </w:tc>
      </w:tr>
    </w:tbl>
    <w:p>
      <w:pPr>
        <w:pStyle w:val="TableParagraph"/>
        <w:spacing w:after="0" w:line="390" w:lineRule="atLeast"/>
        <w:rPr>
          <w:sz w:val="22"/>
        </w:rPr>
        <w:sectPr>
          <w:type w:val="continuous"/>
          <w:pgSz w:w="11910" w:h="16840"/>
          <w:pgMar w:header="160" w:footer="320" w:top="1780" w:bottom="520" w:left="566" w:right="425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2127" w:hRule="atLeast"/>
        </w:trPr>
        <w:tc>
          <w:tcPr>
            <w:tcW w:w="108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Pinjaman: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xxx</w:t>
            </w:r>
          </w:p>
          <w:p>
            <w:pPr>
              <w:pStyle w:val="TableParagraph"/>
              <w:spacing w:line="369" w:lineRule="auto" w:before="137"/>
              <w:ind w:left="110" w:right="597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Jangka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Waktu: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xxx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Konsumen**):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xxx</w:t>
            </w:r>
          </w:p>
          <w:p>
            <w:pPr>
              <w:pStyle w:val="TableParagraph"/>
              <w:spacing w:line="369" w:lineRule="auto"/>
              <w:ind w:left="110" w:right="4785"/>
              <w:rPr>
                <w:sz w:val="22"/>
              </w:rPr>
            </w:pPr>
            <w:r>
              <w:rPr>
                <w:w w:val="105"/>
                <w:sz w:val="22"/>
              </w:rPr>
              <w:t>**Total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hingga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lunas, termasuk pokok, bunga dan seluruh biaya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4435" w:hRule="atLeast"/>
        </w:trPr>
        <w:tc>
          <w:tcPr>
            <w:tcW w:w="108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mungkin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timbul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macet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(Notaris,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pengambil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alihan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lelang, penagihan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83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Definisi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efektif, flat, dan </w:t>
            </w:r>
            <w:r>
              <w:rPr>
                <w:spacing w:val="-2"/>
                <w:w w:val="105"/>
                <w:sz w:val="22"/>
              </w:rPr>
              <w:t>anuitas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126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Kenaikan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menyebabkan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lebih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Apabila dilakukan pelunasan dipercepat maka anda akan menerima pengembalian premi </w:t>
            </w:r>
            <w:r>
              <w:rPr>
                <w:w w:val="105"/>
                <w:sz w:val="22"/>
              </w:rPr>
              <w:t>asuransi yang telah dibayarkan sesuai dengan pemanfaatan asuransi yang telah digunakan.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82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Notaris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digunakan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adalah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notaris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rekanan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BPR.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diikat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SKMHT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APHT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9" w:val="left" w:leader="none"/>
              </w:tabs>
              <w:spacing w:line="240" w:lineRule="auto" w:before="127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Pengembalian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dokumen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sudah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dilakukan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pelunasan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26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menerima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penawaran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ketiga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menyetujui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untuk membagikan data pribadi.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Informasi lain mengenai biaya, manfaat, dan risiko dapat langsung ditanyakan langsung ke kantor BPR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permohonan kredit anda apabila tidak memenuhi persyaratan dan ketentuan yang berlaku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type w:val="continuous"/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17216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7728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8240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17728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410" w:hanging="29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29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29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29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29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29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29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299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1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2025-09-16T00:05:50Z</dcterms:created>
  <dcterms:modified xsi:type="dcterms:W3CDTF">2025-09-16T00:05:50Z</dcterms:modified>
</cp:coreProperties>
</file>