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line="318" w:lineRule="exact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 w:before="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TABUNGAN</w:t>
            </w:r>
            <w:r>
              <w:rPr>
                <w:rFonts w:ascii="Arial Black"/>
                <w:spacing w:val="36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HARIAN</w:t>
            </w:r>
            <w:r>
              <w:rPr>
                <w:rFonts w:ascii="Arial Black"/>
                <w:spacing w:val="36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PERORANGAN</w:t>
            </w:r>
          </w:p>
        </w:tc>
      </w:tr>
      <w:tr>
        <w:trPr>
          <w:trHeight w:val="24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Simpanan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(Funding)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ind w:left="11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z w:val="22"/>
              </w:rPr>
              <w:t>Tabungan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Harian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Tabungan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ditarik</w:t>
            </w:r>
          </w:p>
          <w:p>
            <w:pPr>
              <w:pStyle w:val="TableParagraph"/>
              <w:tabs>
                <w:tab w:pos="6509" w:val="left" w:leader="none"/>
              </w:tabs>
              <w:spacing w:line="278" w:lineRule="auto" w:before="0"/>
              <w:ind w:left="6510" w:right="327" w:hanging="4700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Perorangan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sewaktu-waktu sesuai dengan kebutuhan nasabah. Nasabah dapat menabung dengan cara datang langsung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dijemput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door to door ) oleh petugas kolektor bank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17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1" w:lineRule="auto" w:before="133"/>
              <w:ind w:left="5510" w:right="342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(2%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 tahun )</w:t>
              <w:tab/>
            </w:r>
            <w:r>
              <w:rPr>
                <w:rFonts w:ascii="Arial Black"/>
                <w:spacing w:val="-6"/>
                <w:sz w:val="22"/>
              </w:rPr>
              <w:t>Besarnya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Saldo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yang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mendapatkan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bunga </w:t>
            </w:r>
            <w:r>
              <w:rPr>
                <w:sz w:val="22"/>
              </w:rPr>
              <w:t>(Besarnya Saldo yang mendapatkan bunga &gt; </w:t>
            </w:r>
            <w:r>
              <w:rPr>
                <w:sz w:val="22"/>
              </w:rPr>
              <w:t>Rp. 25.000,- (dua puluh lima ribu rupiah) keatas.)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6731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1" w:lineRule="auto" w:before="133"/>
              <w:ind w:left="110" w:right="827"/>
              <w:jc w:val="both"/>
              <w:rPr>
                <w:sz w:val="22"/>
              </w:rPr>
            </w:pPr>
            <w:r>
              <w:rPr>
                <w:rFonts w:ascii="Arial Black"/>
                <w:w w:val="105"/>
                <w:sz w:val="22"/>
              </w:rPr>
              <w:t>Biaya</w:t>
            </w:r>
            <w:r>
              <w:rPr>
                <w:rFonts w:ascii="Arial Black"/>
                <w:spacing w:val="-20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Administrasi</w:t>
            </w:r>
            <w:r>
              <w:rPr>
                <w:rFonts w:ascii="Arial Black"/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(Setiap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bulannya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dipotong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Potongan</w:t>
            </w:r>
            <w:r>
              <w:rPr>
                <w:rFonts w:ascii="Arial Black"/>
                <w:spacing w:val="-19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Pajak</w:t>
            </w:r>
            <w:r>
              <w:rPr>
                <w:rFonts w:ascii="Arial Black"/>
                <w:spacing w:val="-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(Pembebanan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biaya administrasi tabungan sebesar Rp.2.000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Harian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 (dua ribu rupiah))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ditetapkan dari suku bunga bersih setelah</w:t>
            </w:r>
          </w:p>
          <w:p>
            <w:pPr>
              <w:pStyle w:val="TableParagraph"/>
              <w:spacing w:line="283" w:lineRule="auto" w:before="12"/>
              <w:ind w:left="5510" w:right="70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dipotong pph 20 % setiap akhir bulan dan dibukukan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secara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otomatis)</w:t>
            </w:r>
          </w:p>
          <w:p>
            <w:pPr>
              <w:pStyle w:val="TableParagraph"/>
              <w:tabs>
                <w:tab w:pos="5509" w:val="left" w:leader="none"/>
              </w:tabs>
              <w:spacing w:line="271" w:lineRule="auto" w:before="46"/>
              <w:ind w:left="110" w:right="327"/>
              <w:rPr>
                <w:sz w:val="22"/>
              </w:rPr>
            </w:pPr>
            <w:r>
              <w:rPr>
                <w:rFonts w:ascii="Arial Black"/>
                <w:sz w:val="22"/>
              </w:rPr>
              <w:t>Saldo Tabungan harian yg dipotong pajak</w:t>
              <w:tab/>
              <w:t>Saldo Pengendapan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(Saldo minimal untuk (Besarnya Saldo Tabugan Harian yang dipotong</w:t>
              <w:tab/>
              <w:t>pengendapan sebesar Rp.25.000,-(dua puluh </w:t>
            </w:r>
            <w:r>
              <w:rPr>
                <w:sz w:val="22"/>
              </w:rPr>
              <w:t>lima Pajak Pph Pasal 4 ayat 2 ditetapkan</w:t>
              <w:tab/>
              <w:t>ribu rupiah))</w:t>
            </w:r>
          </w:p>
          <w:p>
            <w:pPr>
              <w:pStyle w:val="TableParagraph"/>
              <w:spacing w:line="283" w:lineRule="auto" w:before="13"/>
              <w:ind w:left="110" w:right="5316"/>
              <w:rPr>
                <w:sz w:val="22"/>
              </w:rPr>
            </w:pPr>
            <w:r>
              <w:rPr>
                <w:w w:val="105"/>
                <w:sz w:val="22"/>
              </w:rPr>
              <w:t>&gt;Rp.7.500.000,-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Tujuh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juta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lima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ratus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ribu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rupiah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) ke atas)</w:t>
            </w:r>
          </w:p>
          <w:p>
            <w:pPr>
              <w:pStyle w:val="TableParagraph"/>
              <w:tabs>
                <w:tab w:pos="1098" w:val="left" w:leader="none"/>
              </w:tabs>
              <w:spacing w:line="280" w:lineRule="auto" w:before="46"/>
              <w:ind w:left="110" w:right="5536"/>
              <w:rPr>
                <w:sz w:val="22"/>
              </w:rPr>
            </w:pPr>
            <w:r>
              <w:rPr>
                <w:rFonts w:ascii="Arial Black"/>
                <w:sz w:val="22"/>
              </w:rPr>
              <w:t>Tabungan</w:t>
            </w:r>
            <w:r>
              <w:rPr>
                <w:rFonts w:ascii="Arial Black"/>
                <w:spacing w:val="-1"/>
                <w:sz w:val="22"/>
              </w:rPr>
              <w:t> </w:t>
            </w:r>
            <w:r>
              <w:rPr>
                <w:rFonts w:ascii="Arial Black"/>
                <w:sz w:val="22"/>
              </w:rPr>
              <w:t>Pasif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(Yang dimaksud dengan </w:t>
            </w:r>
            <w:r>
              <w:rPr>
                <w:w w:val="105"/>
                <w:sz w:val="22"/>
              </w:rPr>
              <w:t>rekening pasif adalah Rekening Tabungan yang tanpa ada mutasi selama 6 (enam) bulan yang mana rekening dengan saldo Rp.25.000 (dua puluh lima ribu rupiah)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dipotong administrasi tabungan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pasif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sebesar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Rp.25.000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setiap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bulannya dan untuk saldo &lt; Rp.25.000 (dua puluh lima ribu rupiah) saldo langsung di 0 kan setiap bulannya serta 2.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Setiap bulannya dipotong biaya administrasi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sebesar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Rp.2.000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(dua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ribu rupiah) 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693E3"/>
          </w:tcPr>
          <w:p>
            <w:pPr>
              <w:pStyle w:val="TableParagraph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1118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z w:val="22"/>
              </w:rPr>
              <w:t>Tabungan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dimiliki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Sedana Yasa dijamin oleh LPS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51" w:lineRule="exact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Penjaminan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adalah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167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left="410" w:right="8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maksimal</w:t>
            </w:r>
            <w:r>
              <w:rPr>
                <w:w w:val="105"/>
                <w:sz w:val="22"/>
              </w:rPr>
              <w:t> Rp2</w:t>
            </w:r>
            <w:r>
              <w:rPr>
                <w:w w:val="105"/>
                <w:sz w:val="22"/>
              </w:rPr>
              <w:t> miliar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nasabah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bank,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batas</w:t>
            </w:r>
            <w:r>
              <w:rPr>
                <w:w w:val="105"/>
                <w:sz w:val="22"/>
              </w:rPr>
              <w:t> penjaminan</w:t>
            </w:r>
            <w:r>
              <w:rPr>
                <w:w w:val="105"/>
                <w:sz w:val="22"/>
              </w:rPr>
              <w:t> pada</w:t>
            </w:r>
            <w:r>
              <w:rPr>
                <w:w w:val="105"/>
                <w:sz w:val="22"/>
              </w:rPr>
              <w:t> Bank Umum dengan suku bunga yang tentunya lebih tinggi</w:t>
            </w:r>
            <w:r>
              <w:rPr>
                <w:w w:val="105"/>
                <w:sz w:val="22"/>
              </w:rPr>
              <w:t> dibandingkan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bungan</w:t>
            </w:r>
            <w:r>
              <w:rPr>
                <w:w w:val="105"/>
                <w:sz w:val="22"/>
              </w:rPr>
              <w:t> tabungan pada Bank Umum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5693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97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Formulir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Pembukaan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 Tabungan Harian dan KYC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46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Foto copy kartu identitas diri (E-KTP) yang berlaku,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WNA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disertai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Kitas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 Pasport serta yang berlaku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146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Menyerahkan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kelahiran dan Kartu Keluarga bagi nasabah yang belum memiliki E-KTP atau identitas lainnya, dan cakap dengan hukum yang serta melampirkan foto copy identitas dari wali/orang tua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5" w:after="0"/>
              <w:ind w:left="410" w:right="24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 Formulir BO serta menyerahkan foto copy E-KTP BO untuk nasabah yang belum memiliki penghasilan sendiri/sumber </w:t>
            </w:r>
            <w:r>
              <w:rPr>
                <w:w w:val="105"/>
                <w:sz w:val="22"/>
              </w:rPr>
              <w:t>dananya berasal dari orang lain baik itu dari orang tua, suami, istri, anak, saudara ataupun lainnya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6" w:after="0"/>
              <w:ind w:left="410" w:right="32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Persyaratan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lainnya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ketentuan BPR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berlaku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ind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ind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2537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168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Cakupan biaya yang mungkin timbul apabila penabung tidak aktif melakukan transaksi selama </w:t>
            </w:r>
            <w:r>
              <w:rPr>
                <w:w w:val="105"/>
                <w:sz w:val="22"/>
              </w:rPr>
              <w:t>6 </w:t>
            </w:r>
            <w:r>
              <w:rPr>
                <w:spacing w:val="-4"/>
                <w:w w:val="105"/>
                <w:sz w:val="22"/>
              </w:rPr>
              <w:t>bulan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83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harian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berubah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setiap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situasi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kondisi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Ekonomi dipasaran dan tidak lebih besar dari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LPS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82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Tabungan Harian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bisa dijadikan agunan kredit dengan syarat jumlah saldo tabungan </w:t>
            </w:r>
            <w:r>
              <w:rPr>
                <w:w w:val="105"/>
                <w:sz w:val="22"/>
              </w:rPr>
              <w:t>memenuhi persyaratan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dijadikan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selama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boleh ditarik (diblokir) selama jk waktu pinjaman</w:t>
            </w:r>
          </w:p>
        </w:tc>
      </w:tr>
    </w:tbl>
    <w:p>
      <w:pPr>
        <w:pStyle w:val="TableParagraph"/>
        <w:spacing w:after="0" w:line="283" w:lineRule="auto"/>
        <w:jc w:val="both"/>
        <w:rPr>
          <w:sz w:val="22"/>
        </w:rPr>
        <w:sectPr>
          <w:type w:val="continuous"/>
          <w:pgSz w:w="11910" w:h="16840"/>
          <w:pgMar w:header="160" w:footer="320" w:top="1780" w:bottom="520" w:left="566" w:right="425"/>
        </w:sectPr>
      </w:pPr>
    </w:p>
    <w:p>
      <w:pPr>
        <w:pStyle w:val="BodyText"/>
        <w:ind w:left="24" w:right="-1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83400" cy="2099310"/>
                <wp:effectExtent l="9525" t="0" r="0" b="15239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83400" cy="2099310"/>
                          <a:chExt cx="6883400" cy="209931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6870700" cy="372745"/>
                          </a:xfrm>
                          <a:prstGeom prst="rect">
                            <a:avLst/>
                          </a:prstGeom>
                          <a:solidFill>
                            <a:srgbClr val="069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0" w:right="20" w:firstLine="0"/>
                                <w:jc w:val="center"/>
                                <w:rPr>
                                  <w:rFonts w:asci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w w:val="90"/>
                                  <w:sz w:val="24"/>
                                </w:rPr>
                                <w:t>Disclaimer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w w:val="90"/>
                                  <w:sz w:val="24"/>
                                </w:rPr>
                                <w:t>(Penting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w w:val="90"/>
                                  <w:sz w:val="24"/>
                                </w:rPr>
                                <w:t>Untuk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w w:val="90"/>
                                  <w:sz w:val="24"/>
                                </w:rPr>
                                <w:t>Dibaca)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0"/>
                            <a:ext cx="68707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385445">
                                <a:moveTo>
                                  <a:pt x="0" y="0"/>
                                </a:moveTo>
                                <a:lnTo>
                                  <a:pt x="0" y="385340"/>
                                </a:lnTo>
                              </a:path>
                              <a:path w="6870700" h="385445">
                                <a:moveTo>
                                  <a:pt x="6870700" y="0"/>
                                </a:moveTo>
                                <a:lnTo>
                                  <a:pt x="6870700" y="3853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78990"/>
                            <a:ext cx="687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0">
                                <a:moveTo>
                                  <a:pt x="0" y="0"/>
                                </a:moveTo>
                                <a:lnTo>
                                  <a:pt x="6870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72640"/>
                            <a:ext cx="687705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1726564">
                                <a:moveTo>
                                  <a:pt x="6350" y="0"/>
                                </a:moveTo>
                                <a:lnTo>
                                  <a:pt x="6350" y="583691"/>
                                </a:lnTo>
                              </a:path>
                              <a:path w="6877050" h="1726564">
                                <a:moveTo>
                                  <a:pt x="6877050" y="0"/>
                                </a:moveTo>
                                <a:lnTo>
                                  <a:pt x="6877050" y="583691"/>
                                </a:lnTo>
                              </a:path>
                              <a:path w="6877050" h="1726564">
                                <a:moveTo>
                                  <a:pt x="6350" y="570991"/>
                                </a:moveTo>
                                <a:lnTo>
                                  <a:pt x="6350" y="1726183"/>
                                </a:lnTo>
                              </a:path>
                              <a:path w="6877050" h="1726564">
                                <a:moveTo>
                                  <a:pt x="6877050" y="570991"/>
                                </a:moveTo>
                                <a:lnTo>
                                  <a:pt x="6877050" y="1726183"/>
                                </a:lnTo>
                              </a:path>
                              <a:path w="6877050" h="1726564">
                                <a:moveTo>
                                  <a:pt x="0" y="1719833"/>
                                </a:moveTo>
                                <a:lnTo>
                                  <a:pt x="6870700" y="17198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4589" y="1806978"/>
                            <a:ext cx="294322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Tanggal</w:t>
                              </w:r>
                              <w:r>
                                <w:rPr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Cetak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Dokumen: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September</w:t>
                              </w:r>
                              <w:r>
                                <w:rPr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6742" y="1616732"/>
                            <a:ext cx="27209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2"/>
                                <w:ind w:left="0" w:right="0" w:firstLine="39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PT. BPR SEDANA YASA berizin dan diawasi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oleh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Otoritas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Jasa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Keuangan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(OJK)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474240"/>
                            <a:ext cx="670560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2"/>
                                <w:ind w:left="340" w:right="0" w:hanging="34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spacing w:val="8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Bank dapat menolak penempatan dana apabila nasabah penabung merupakan orang yang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masuk kedalam DTTOT, PPSPM dan Judi Online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2pt;height:165.3pt;mso-position-horizontal-relative:char;mso-position-vertical-relative:line" id="docshapegroup3" coordorigin="0,0" coordsize="10840,3306">
                <v:shape style="position:absolute;left:10;top:10;width:10820;height:587" type="#_x0000_t202" id="docshape4" filled="true" fillcolor="#0693e3" stroked="false">
                  <v:textbox inset="0,0,0,0">
                    <w:txbxContent>
                      <w:p>
                        <w:pPr>
                          <w:spacing w:before="122"/>
                          <w:ind w:left="20" w:right="20" w:firstLine="0"/>
                          <w:jc w:val="center"/>
                          <w:rPr>
                            <w:rFonts w:asci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w w:val="90"/>
                            <w:sz w:val="24"/>
                          </w:rPr>
                          <w:t>Disclaimer</w:t>
                        </w:r>
                        <w:r>
                          <w:rPr>
                            <w:rFonts w:ascii="Arial Black"/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00000"/>
                            <w:w w:val="90"/>
                            <w:sz w:val="24"/>
                          </w:rPr>
                          <w:t>(Penting</w:t>
                        </w:r>
                        <w:r>
                          <w:rPr>
                            <w:rFonts w:ascii="Arial Black"/>
                            <w:color w:val="00000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00000"/>
                            <w:w w:val="90"/>
                            <w:sz w:val="24"/>
                          </w:rPr>
                          <w:t>Untuk</w:t>
                        </w:r>
                        <w:r>
                          <w:rPr>
                            <w:rFonts w:ascii="Arial Black"/>
                            <w:color w:val="00000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000000"/>
                            <w:spacing w:val="-2"/>
                            <w:w w:val="90"/>
                            <w:sz w:val="24"/>
                          </w:rPr>
                          <w:t>Dibaca)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;top:0;width:10820;height:607" id="docshape5" coordorigin="10,0" coordsize="10820,607" path="m10,0l10,607m10830,0l10830,607e" filled="false" stroked="true" strokeweight="1pt" strokecolor="#000000">
                  <v:path arrowok="t"/>
                  <v:stroke dashstyle="solid"/>
                </v:shape>
                <v:line style="position:absolute" from="0,597" to="10820,597" stroked="true" strokeweight="1pt" strokecolor="#808080">
                  <v:stroke dashstyle="solid"/>
                </v:line>
                <v:shape style="position:absolute;left:0;top:586;width:10830;height:2719" id="docshape6" coordorigin="0,587" coordsize="10830,2719" path="m10,587l10,1506m10830,587l10830,1506m10,1486l10,3305m10830,1486l10830,3305m0,3295l10820,3295e" filled="false" stroked="true" strokeweight="1pt" strokecolor="#000000">
                  <v:path arrowok="t"/>
                  <v:stroke dashstyle="solid"/>
                </v:shape>
                <v:shape style="position:absolute;left:5912;top:2845;width:4635;height:300" type="#_x0000_t202" id="docshape7" filled="false" stroked="false">
                  <v:textbox inset="0,0,0,0">
                    <w:txbxContent>
                      <w:p>
                        <w:pPr>
                          <w:spacing w:before="28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Tanggal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Cetak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Dokumen: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September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687;top:2546;width:4285;height:600" type="#_x0000_t202" id="docshape8" filled="false" stroked="false">
                  <v:textbox inset="0,0,0,0">
                    <w:txbxContent>
                      <w:p>
                        <w:pPr>
                          <w:spacing w:line="283" w:lineRule="auto" w:before="2"/>
                          <w:ind w:left="0" w:right="0" w:firstLine="39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PT. BPR SEDANA YASA berizin dan diawasi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oleh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Otoritas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Jasa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Keuangan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(OJK)</w:t>
                        </w:r>
                      </w:p>
                    </w:txbxContent>
                  </v:textbox>
                  <w10:wrap type="none"/>
                </v:shape>
                <v:shape style="position:absolute;left:120;top:746;width:10560;height:600" type="#_x0000_t202" id="docshape9" filled="false" stroked="false">
                  <v:textbox inset="0,0,0,0">
                    <w:txbxContent>
                      <w:p>
                        <w:pPr>
                          <w:spacing w:line="283" w:lineRule="auto" w:before="2"/>
                          <w:ind w:left="340" w:right="0" w:hanging="34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1.</w:t>
                        </w:r>
                        <w:r>
                          <w:rPr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Bank dapat menolak penempatan dana apabila nasabah penabung merupakan orang yang </w:t>
                        </w:r>
                        <w:r>
                          <w:rPr>
                            <w:w w:val="105"/>
                            <w:sz w:val="22"/>
                          </w:rPr>
                          <w:t>masuk kedalam DTTOT, PPSPM dan Judi Online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5952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6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8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4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8" w:hanging="3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2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2025-09-16T00:06:56Z</dcterms:created>
  <dcterms:modified xsi:type="dcterms:W3CDTF">2025-09-16T00:06:56Z</dcterms:modified>
</cp:coreProperties>
</file>